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57" w:rsidRDefault="00162C57" w:rsidP="00615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</w:pPr>
    </w:p>
    <w:p w:rsidR="00162C57" w:rsidRDefault="00162C57" w:rsidP="00615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</w:pPr>
      <w:r w:rsidRPr="00162C57"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  <w:t>http://rmomatematika.jimdo.com</w:t>
      </w:r>
    </w:p>
    <w:p w:rsidR="00162C57" w:rsidRDefault="00162C57" w:rsidP="00615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</w:pPr>
    </w:p>
    <w:p w:rsidR="00615988" w:rsidRPr="00615988" w:rsidRDefault="00615988" w:rsidP="0061598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  <w:t>Документация ШМО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  <w:t>Папка №1 «Основная»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Содержание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1.Тема методической работы ШМО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2.Цель и задачи методической работы ШМО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3.Приоритетные направления методической работы ШМО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4.Анализ работы за прошедший учебный год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5.План работы на текущий учебный год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6.Журнал протоколов заседаний ШМО (прошнурованный)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7.Кадровый потенциал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8.Функциональные обязанности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9.Общие сведения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10.Перспективный план аттестации учителей ШМО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11.График открытых уроков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12.Самообразование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13.Взаимопосещение уроков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14.Предметная неделя: план проведения, утвержденный директором школы, анализ поведения.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  <w:t>Папка №2 ГИА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 xml:space="preserve">1.Программа подготовки и проведения ГИА </w:t>
      </w:r>
      <w:proofErr w:type="gramStart"/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обучающихся</w:t>
      </w:r>
      <w:proofErr w:type="gramEnd"/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.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2.Анализ результатов ГИА за прошедший учебный год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  <w:t>Папка №3 Внутренний мониторинг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1.Анализы входных и итоговых работ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  <w:t>Папка №4 Нормативно-правовой материал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-положение «Об организации методической работы на текущий учебный год»;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-положение о ШМО;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-положение о школьной предметной неделе;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-должностные обязанности руководителя ШМО;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-положение о рабочих программах;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  <w:t>-положение о едином орфографическом режиме; и т.д.</w:t>
      </w:r>
    </w:p>
    <w:p w:rsidR="00615988" w:rsidRPr="00615988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  <w:lang w:eastAsia="ru-RU"/>
        </w:rPr>
      </w:pPr>
      <w:r w:rsidRPr="00615988">
        <w:rPr>
          <w:rFonts w:ascii="Times New Roman" w:eastAsia="Times New Roman" w:hAnsi="Times New Roman" w:cs="Times New Roman"/>
          <w:b/>
          <w:bCs/>
          <w:color w:val="525B56"/>
          <w:sz w:val="24"/>
          <w:szCs w:val="24"/>
          <w:lang w:eastAsia="ru-RU"/>
        </w:rPr>
        <w:t>Папка №5 Сценарии уроков и мероприятий</w:t>
      </w:r>
    </w:p>
    <w:p w:rsidR="00615988" w:rsidRPr="00162C57" w:rsidRDefault="00615988" w:rsidP="0061598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16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порядок ведения документации ШМО представлен  в качестве методической помощи тем школам, кто пока не определился и не утвердил свой порядок.</w:t>
      </w:r>
    </w:p>
    <w:p w:rsidR="000174CF" w:rsidRDefault="000174CF"/>
    <w:sectPr w:rsidR="000174CF" w:rsidSect="0001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88"/>
    <w:rsid w:val="000174CF"/>
    <w:rsid w:val="00162C57"/>
    <w:rsid w:val="001C2C11"/>
    <w:rsid w:val="00366FB0"/>
    <w:rsid w:val="00402B40"/>
    <w:rsid w:val="00615988"/>
    <w:rsid w:val="009F38CD"/>
    <w:rsid w:val="00E6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2014-12-15T05:57:00Z</cp:lastPrinted>
  <dcterms:created xsi:type="dcterms:W3CDTF">2014-12-15T05:53:00Z</dcterms:created>
  <dcterms:modified xsi:type="dcterms:W3CDTF">2014-12-15T06:18:00Z</dcterms:modified>
</cp:coreProperties>
</file>